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  <w:bookmarkStart w:id="0" w:name="_GoBack"/>
            <w:bookmarkEnd w:id="0"/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06B515BE" w:rsidR="003B2B85" w:rsidRPr="008A3371" w:rsidRDefault="008A3371" w:rsidP="003B2B85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  <w:r w:rsidRPr="008A3371">
              <w:rPr>
                <w:rFonts w:ascii="Arial Black" w:hAnsi="Arial Black"/>
                <w:b/>
                <w:sz w:val="40"/>
                <w:szCs w:val="40"/>
              </w:rPr>
              <w:t>Přístroj anesteziologický vč. monitoru</w:t>
            </w:r>
          </w:p>
          <w:p w14:paraId="0CE4A827" w14:textId="24366656" w:rsidR="00690223" w:rsidRPr="001E75DC" w:rsidRDefault="00690223" w:rsidP="00690223">
            <w:pPr>
              <w:jc w:val="center"/>
              <w:rPr>
                <w:rFonts w:ascii="Arial Black" w:hAnsi="Arial Black"/>
                <w:b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1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1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2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2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3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3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8552C2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7146307D" w14:textId="375A0C62" w:rsidR="00AA0DFF" w:rsidRPr="00F040FB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a identifikace objednatele; minimální úroveň pro splnění tohoto kritéria technické kvalifikace je </w:t>
      </w:r>
      <w:r w:rsidRPr="0043560D">
        <w:rPr>
          <w:rFonts w:ascii="Arial" w:hAnsi="Arial" w:cs="Arial"/>
        </w:rPr>
        <w:t>stanovena</w:t>
      </w:r>
      <w:r w:rsidR="00CE0239" w:rsidRPr="0043560D">
        <w:rPr>
          <w:rFonts w:ascii="Arial" w:hAnsi="Arial" w:cs="Arial"/>
        </w:rPr>
        <w:t xml:space="preserve"> na </w:t>
      </w:r>
      <w:bookmarkStart w:id="4" w:name="_Hlk118464175"/>
      <w:r w:rsidR="00EE07FA" w:rsidRPr="00F040FB">
        <w:rPr>
          <w:rFonts w:ascii="Arial" w:hAnsi="Arial" w:cs="Arial"/>
        </w:rPr>
        <w:t xml:space="preserve">min. </w:t>
      </w:r>
      <w:r w:rsidR="00193803" w:rsidRPr="00F040FB">
        <w:rPr>
          <w:rFonts w:ascii="Arial" w:hAnsi="Arial" w:cs="Arial"/>
        </w:rPr>
        <w:t>3 referenční dodávky</w:t>
      </w:r>
      <w:r w:rsidR="000825F4" w:rsidRPr="00F040FB">
        <w:rPr>
          <w:rFonts w:ascii="Arial" w:hAnsi="Arial" w:cs="Arial"/>
        </w:rPr>
        <w:t>,</w:t>
      </w:r>
      <w:r w:rsidR="00193803" w:rsidRPr="00F040FB">
        <w:rPr>
          <w:rFonts w:ascii="Arial" w:hAnsi="Arial" w:cs="Arial"/>
        </w:rPr>
        <w:t xml:space="preserve"> </w:t>
      </w:r>
      <w:r w:rsidR="000825F4" w:rsidRPr="00F040FB">
        <w:rPr>
          <w:rFonts w:ascii="Arial" w:hAnsi="Arial" w:cs="Arial"/>
        </w:rPr>
        <w:t xml:space="preserve">jejichž předmětem nebo součástí byla </w:t>
      </w:r>
      <w:r w:rsidR="000825F4" w:rsidRPr="00EE478E">
        <w:rPr>
          <w:rFonts w:ascii="Arial" w:hAnsi="Arial" w:cs="Arial"/>
        </w:rPr>
        <w:t xml:space="preserve">dodávka </w:t>
      </w:r>
      <w:bookmarkStart w:id="5" w:name="_Hlk125007740"/>
      <w:r w:rsidR="008A3371" w:rsidRPr="00EE478E">
        <w:rPr>
          <w:rFonts w:ascii="Arial" w:hAnsi="Arial" w:cs="Arial"/>
        </w:rPr>
        <w:t>anesteziologického přístroje vč. monitoru</w:t>
      </w:r>
      <w:r w:rsidR="002E48FA" w:rsidRPr="00EE478E">
        <w:rPr>
          <w:rFonts w:ascii="Arial" w:hAnsi="Arial" w:cs="Arial"/>
        </w:rPr>
        <w:t xml:space="preserve"> </w:t>
      </w:r>
      <w:bookmarkEnd w:id="5"/>
      <w:r w:rsidR="0054105A" w:rsidRPr="00F040FB">
        <w:rPr>
          <w:rFonts w:ascii="Arial" w:hAnsi="Arial" w:cs="Arial"/>
        </w:rPr>
        <w:t xml:space="preserve">a součástí zakázky byla i </w:t>
      </w:r>
      <w:r w:rsidR="009A438E" w:rsidRPr="00F040FB">
        <w:rPr>
          <w:rFonts w:ascii="Arial" w:hAnsi="Arial" w:cs="Arial"/>
        </w:rPr>
        <w:t>instalace a zprovoznění</w:t>
      </w:r>
      <w:bookmarkEnd w:id="4"/>
      <w:r w:rsidR="000825F4" w:rsidRPr="00F040FB">
        <w:rPr>
          <w:rFonts w:ascii="Arial" w:hAnsi="Arial" w:cs="Arial"/>
        </w:rPr>
        <w:t>.</w:t>
      </w:r>
    </w:p>
    <w:p w14:paraId="093C73C8" w14:textId="77777777" w:rsidR="00F20075" w:rsidRDefault="00F20075" w:rsidP="00F20075">
      <w:pPr>
        <w:jc w:val="both"/>
        <w:rPr>
          <w:rFonts w:ascii="Arial" w:hAnsi="Arial" w:cs="Arial"/>
        </w:rPr>
      </w:pPr>
      <w:bookmarkStart w:id="6" w:name="_Hlk98317839"/>
      <w:r>
        <w:rPr>
          <w:rFonts w:ascii="Arial" w:hAnsi="Arial" w:cs="Arial"/>
        </w:rPr>
        <w:t>Poznámka:</w:t>
      </w:r>
    </w:p>
    <w:bookmarkEnd w:id="6"/>
    <w:p w14:paraId="6F326E8F" w14:textId="77777777" w:rsidR="00F20075" w:rsidRPr="001E75DC" w:rsidRDefault="00F20075" w:rsidP="00F20075">
      <w:pPr>
        <w:jc w:val="both"/>
        <w:rPr>
          <w:rFonts w:ascii="Arial" w:hAnsi="Arial" w:cs="Arial"/>
        </w:rPr>
      </w:pPr>
      <w:r w:rsidRPr="001E75D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77777777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380228EA" w14:textId="7777777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lastRenderedPageBreak/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lastRenderedPageBreak/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FE5F4" w14:textId="77777777" w:rsidR="0027343D" w:rsidRDefault="0027343D">
      <w:r>
        <w:separator/>
      </w:r>
    </w:p>
  </w:endnote>
  <w:endnote w:type="continuationSeparator" w:id="0">
    <w:p w14:paraId="363F2CBB" w14:textId="77777777" w:rsidR="0027343D" w:rsidRDefault="0027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02ACCDCF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0426CB">
      <w:rPr>
        <w:rStyle w:val="slostrnky"/>
        <w:rFonts w:ascii="Arial" w:hAnsi="Arial"/>
        <w:noProof/>
      </w:rPr>
      <w:t>6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89C9" w14:textId="77777777" w:rsidR="0027343D" w:rsidRDefault="0027343D">
      <w:r>
        <w:separator/>
      </w:r>
    </w:p>
  </w:footnote>
  <w:footnote w:type="continuationSeparator" w:id="0">
    <w:p w14:paraId="38B53994" w14:textId="77777777" w:rsidR="0027343D" w:rsidRDefault="0027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4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3"/>
  </w:num>
  <w:num w:numId="5">
    <w:abstractNumId w:val="15"/>
  </w:num>
  <w:num w:numId="6">
    <w:abstractNumId w:val="0"/>
  </w:num>
  <w:num w:numId="7">
    <w:abstractNumId w:val="8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26CB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170F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5D60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52C2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371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2FC2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4BDA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659E"/>
    <w:rsid w:val="00D7328B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E478E"/>
    <w:rsid w:val="00EF0628"/>
    <w:rsid w:val="00EF37A8"/>
    <w:rsid w:val="00EF3B13"/>
    <w:rsid w:val="00EF6AAF"/>
    <w:rsid w:val="00F00B24"/>
    <w:rsid w:val="00F037DB"/>
    <w:rsid w:val="00F040F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912A2-E9D8-4AF8-B7B4-E4B2B327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1796</Words>
  <Characters>11566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97</cp:revision>
  <cp:lastPrinted>2022-05-23T08:45:00Z</cp:lastPrinted>
  <dcterms:created xsi:type="dcterms:W3CDTF">2017-05-10T07:34:00Z</dcterms:created>
  <dcterms:modified xsi:type="dcterms:W3CDTF">2023-01-24T08:09:00Z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E36bqOxjEuYwuTwZ2Tum8o7YgNFZFfXLOh3df59yOdvr8FC9eqfwNQ18sE/4J5zKpGNJ1aiCeGx1j0dxe5R8ab2ITzMHn1TCGyzibZ1GSocNbZ5KD6XAK2V8n1MWeFxP9ABYgg3f0V5mGYULNRog7ofQHxoDPPctc5IOb2ZhO36/sRpMB1YKGqlkDesO8Wly</vt:lpwstr>
  </property>
</Properties>
</file>